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ind w:firstLine="0" w:firstLineChars="0"/>
        <w:jc w:val="center"/>
        <w:rPr>
          <w:rFonts w:hint="eastAsia" w:ascii="方正小标宋简体" w:hAnsi="Times New Roman" w:eastAsia="方正小标宋简体"/>
          <w:color w:val="auto"/>
          <w:sz w:val="44"/>
          <w:szCs w:val="44"/>
          <w:lang w:bidi="ar-SA"/>
        </w:rPr>
      </w:pPr>
      <w:r>
        <w:rPr>
          <w:rFonts w:hint="eastAsia" w:ascii="方正小标宋简体" w:hAnsi="Times New Roman" w:eastAsia="方正小标宋简体"/>
          <w:color w:val="auto"/>
          <w:sz w:val="44"/>
          <w:szCs w:val="44"/>
          <w:lang w:bidi="ar-SA"/>
        </w:rPr>
        <w:t>化学工程学院</w:t>
      </w:r>
    </w:p>
    <w:p>
      <w:pPr>
        <w:widowControl w:val="0"/>
        <w:snapToGrid w:val="0"/>
        <w:ind w:firstLine="0" w:firstLineChars="0"/>
        <w:jc w:val="center"/>
        <w:rPr>
          <w:rFonts w:hint="eastAsia" w:ascii="方正小标宋简体" w:hAnsi="Times New Roman" w:eastAsia="方正小标宋简体"/>
          <w:color w:val="auto"/>
          <w:sz w:val="44"/>
          <w:szCs w:val="44"/>
          <w:lang w:bidi="ar-SA"/>
        </w:rPr>
      </w:pPr>
      <w:r>
        <w:rPr>
          <w:rFonts w:hint="eastAsia" w:ascii="方正小标宋简体" w:hAnsi="Times New Roman" w:eastAsia="方正小标宋简体"/>
          <w:color w:val="auto"/>
          <w:sz w:val="44"/>
          <w:szCs w:val="44"/>
          <w:lang w:bidi="ar-SA"/>
        </w:rPr>
        <w:t>专业学位研究生行业导师选聘及管理细则</w:t>
      </w:r>
    </w:p>
    <w:p>
      <w:pPr>
        <w:pStyle w:val="4"/>
        <w:keepNext w:val="0"/>
        <w:keepLines w:val="0"/>
        <w:pageBreakBefore w:val="0"/>
        <w:widowControl w:val="0"/>
        <w:kinsoku/>
        <w:wordWrap/>
        <w:overflowPunct/>
        <w:topLinePunct w:val="0"/>
        <w:autoSpaceDE w:val="0"/>
        <w:autoSpaceDN w:val="0"/>
        <w:bidi w:val="0"/>
        <w:adjustRightInd w:val="0"/>
        <w:snapToGrid/>
        <w:spacing w:before="157" w:beforeLines="50"/>
        <w:ind w:firstLine="641"/>
        <w:jc w:val="both"/>
        <w:textAlignment w:val="auto"/>
        <w:rPr>
          <w:rFonts w:ascii="仿宋" w:hAnsi="仿宋" w:eastAsia="仿宋" w:cs="宋体"/>
          <w:color w:val="auto"/>
          <w:sz w:val="32"/>
          <w:szCs w:val="32"/>
          <w:lang w:bidi="ar"/>
        </w:rPr>
      </w:pPr>
      <w:r>
        <w:rPr>
          <w:rFonts w:hint="eastAsia" w:ascii="黑体" w:hAnsi="黑体" w:eastAsia="黑体" w:cs="宋体"/>
          <w:color w:val="auto"/>
          <w:sz w:val="32"/>
          <w:szCs w:val="32"/>
          <w:lang w:bidi="ar"/>
        </w:rPr>
        <w:t>第一条</w:t>
      </w:r>
      <w:r>
        <w:rPr>
          <w:rFonts w:hint="eastAsia" w:ascii="仿宋" w:hAnsi="仿宋" w:eastAsia="仿宋" w:cs="宋体"/>
          <w:color w:val="auto"/>
          <w:sz w:val="32"/>
          <w:szCs w:val="32"/>
          <w:lang w:bidi="ar"/>
        </w:rPr>
        <w:t xml:space="preserve"> </w:t>
      </w:r>
      <w:r>
        <w:rPr>
          <w:rFonts w:hint="eastAsia" w:ascii="宋体" w:hAnsi="宋体" w:eastAsia="仿宋_GB2312" w:cs="宋体"/>
          <w:color w:val="auto"/>
          <w:kern w:val="0"/>
          <w:sz w:val="32"/>
          <w:szCs w:val="28"/>
          <w:lang w:val="en-US" w:eastAsia="zh-CN" w:bidi="ar"/>
        </w:rPr>
        <w:t>为进一步加强专业学位研究生行业产业指导教师队伍建设，提高专业学位研究生培养质量，根据《浙江工业大学专业学位研究生行业产业指导教师选聘管理办法》（浙工大研〔2021〕15 号）文件要求，针对化学工程学院材料与化工专业学位类别的特点和要求，制定本专业</w:t>
      </w:r>
      <w:bookmarkStart w:id="0" w:name="_Hlk73610567"/>
      <w:r>
        <w:rPr>
          <w:rFonts w:hint="eastAsia" w:ascii="宋体" w:hAnsi="宋体" w:eastAsia="仿宋_GB2312" w:cs="宋体"/>
          <w:color w:val="auto"/>
          <w:kern w:val="0"/>
          <w:sz w:val="32"/>
          <w:szCs w:val="28"/>
          <w:lang w:val="en-US" w:eastAsia="zh-CN" w:bidi="ar"/>
        </w:rPr>
        <w:t>行业产业指导教师</w:t>
      </w:r>
      <w:bookmarkEnd w:id="0"/>
      <w:r>
        <w:rPr>
          <w:rFonts w:hint="eastAsia" w:ascii="宋体" w:hAnsi="宋体" w:eastAsia="仿宋_GB2312" w:cs="宋体"/>
          <w:color w:val="auto"/>
          <w:kern w:val="0"/>
          <w:sz w:val="32"/>
          <w:szCs w:val="28"/>
          <w:lang w:val="en-US" w:eastAsia="zh-CN" w:bidi="ar"/>
        </w:rPr>
        <w:t>（以下简称“行业产业导师”) 选聘及管理细则。</w:t>
      </w:r>
    </w:p>
    <w:p>
      <w:pPr>
        <w:tabs>
          <w:tab w:val="left" w:pos="0"/>
        </w:tabs>
        <w:ind w:left="661" w:firstLine="0" w:firstLineChars="0"/>
        <w:rPr>
          <w:rFonts w:ascii="黑体" w:hAnsi="黑体" w:eastAsia="黑体" w:cs="黑体"/>
          <w:color w:val="auto"/>
          <w:lang w:bidi="ar"/>
        </w:rPr>
      </w:pPr>
      <w:r>
        <w:rPr>
          <w:rFonts w:hint="eastAsia" w:ascii="黑体" w:hAnsi="黑体" w:eastAsia="黑体" w:cs="黑体"/>
          <w:color w:val="auto"/>
          <w:lang w:bidi="ar"/>
        </w:rPr>
        <w:t>第二条 选聘条件</w:t>
      </w:r>
    </w:p>
    <w:p>
      <w:pPr>
        <w:numPr>
          <w:ilvl w:val="0"/>
          <w:numId w:val="1"/>
        </w:numPr>
        <w:tabs>
          <w:tab w:val="left" w:pos="0"/>
        </w:tabs>
        <w:ind w:left="0" w:leftChars="0" w:firstLine="420" w:firstLineChars="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坚持以习近平新时代中国特色社会主义思想为指导，拥护中国共产党的领导，学习和贯彻党的教育方针，严格执行国家的教育政策。政治思想素质和职业道德素质较高，为人正派，社会声誉良好。</w:t>
      </w:r>
    </w:p>
    <w:p>
      <w:pPr>
        <w:numPr>
          <w:ilvl w:val="0"/>
          <w:numId w:val="1"/>
        </w:numPr>
        <w:tabs>
          <w:tab w:val="left" w:pos="0"/>
        </w:tabs>
        <w:ind w:left="0" w:leftChars="0" w:firstLine="420" w:firstLineChars="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具备履行校外指导教师职责的条件和能力，具体要求如下：</w:t>
      </w:r>
    </w:p>
    <w:p>
      <w:pPr>
        <w:tabs>
          <w:tab w:val="left" w:pos="0"/>
        </w:tabs>
        <w:ind w:left="0" w:leftChars="0" w:firstLine="640" w:firstLineChars="20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1. 原则上应具有硕士及以上学位或高级专业技术职务或相当于高级专业技术职务或行业执业资格的科研人员、工程技术人员或资深管理人员。</w:t>
      </w:r>
    </w:p>
    <w:p>
      <w:pPr>
        <w:tabs>
          <w:tab w:val="left" w:pos="0"/>
        </w:tabs>
        <w:ind w:left="0" w:leftChars="0" w:firstLine="640" w:firstLineChars="200"/>
        <w:rPr>
          <w:rFonts w:hint="eastAsia" w:ascii="宋体" w:hAnsi="宋体" w:eastAsia="仿宋_GB2312" w:cs="宋体"/>
          <w:color w:val="auto"/>
          <w:kern w:val="0"/>
          <w:sz w:val="32"/>
          <w:szCs w:val="28"/>
          <w:highlight w:val="none"/>
          <w:lang w:val="en-US" w:eastAsia="zh-CN" w:bidi="ar"/>
        </w:rPr>
      </w:pPr>
      <w:r>
        <w:rPr>
          <w:rFonts w:hint="eastAsia" w:ascii="宋体" w:hAnsi="宋体" w:eastAsia="仿宋_GB2312" w:cs="宋体"/>
          <w:color w:val="auto"/>
          <w:kern w:val="0"/>
          <w:sz w:val="32"/>
          <w:szCs w:val="28"/>
          <w:lang w:val="en-US" w:eastAsia="zh-CN" w:bidi="ar"/>
        </w:rPr>
        <w:t>2. 具有5年及以上材料与化工相关行（企）业工程实践经验，有较强的解决本行业产业实际问题能力。</w:t>
      </w:r>
    </w:p>
    <w:p>
      <w:pPr>
        <w:tabs>
          <w:tab w:val="left" w:pos="0"/>
        </w:tabs>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3. 身体健康状况良好，原则上在退休前应能完整指导一届专业学位研究生的专业实践。</w:t>
      </w:r>
    </w:p>
    <w:p>
      <w:pPr>
        <w:numPr>
          <w:ilvl w:val="0"/>
          <w:numId w:val="1"/>
        </w:numPr>
        <w:tabs>
          <w:tab w:val="left" w:pos="0"/>
        </w:tabs>
        <w:ind w:left="0" w:leftChars="0" w:firstLine="420" w:firstLineChars="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申请人所在单位应是材料与化工相关的行业骨干单位，与学院已建立长期稳定的合作关系。</w:t>
      </w:r>
    </w:p>
    <w:p>
      <w:pPr>
        <w:numPr>
          <w:ilvl w:val="0"/>
          <w:numId w:val="2"/>
        </w:numPr>
        <w:tabs>
          <w:tab w:val="left" w:pos="0"/>
        </w:tabs>
        <w:ind w:left="420" w:firstLine="0" w:firstLineChars="0"/>
        <w:rPr>
          <w:rFonts w:hint="eastAsia" w:ascii="黑体" w:hAnsi="黑体" w:eastAsia="黑体" w:cs="黑体"/>
          <w:color w:val="auto"/>
          <w:lang w:bidi="ar"/>
        </w:rPr>
      </w:pPr>
      <w:r>
        <w:rPr>
          <w:rFonts w:hint="eastAsia" w:ascii="黑体" w:hAnsi="黑体" w:eastAsia="黑体" w:cs="黑体"/>
          <w:color w:val="auto"/>
          <w:lang w:bidi="ar"/>
        </w:rPr>
        <w:t>选聘程序</w:t>
      </w:r>
    </w:p>
    <w:p>
      <w:pPr>
        <w:numPr>
          <w:ilvl w:val="0"/>
          <w:numId w:val="0"/>
        </w:numPr>
        <w:tabs>
          <w:tab w:val="left" w:pos="0"/>
        </w:tabs>
        <w:ind w:left="420" w:leftChars="0"/>
        <w:rPr>
          <w:rFonts w:hint="default" w:ascii="黑体" w:hAnsi="黑体" w:eastAsia="黑体" w:cs="黑体"/>
          <w:color w:val="auto"/>
          <w:lang w:val="en-US" w:eastAsia="zh-CN" w:bidi="ar"/>
        </w:rPr>
      </w:pPr>
      <w:r>
        <w:rPr>
          <w:rFonts w:hint="eastAsia" w:ascii="黑体" w:hAnsi="黑体" w:eastAsia="黑体" w:cs="黑体"/>
          <w:color w:val="auto"/>
          <w:lang w:val="en-US" w:eastAsia="zh-CN" w:bidi="ar"/>
        </w:rPr>
        <w:t xml:space="preserve">   </w:t>
      </w:r>
      <w:r>
        <w:rPr>
          <w:rFonts w:hint="eastAsia" w:ascii="宋体" w:hAnsi="宋体" w:eastAsia="仿宋_GB2312" w:cs="宋体"/>
          <w:color w:val="auto"/>
          <w:kern w:val="0"/>
          <w:sz w:val="32"/>
          <w:szCs w:val="28"/>
          <w:lang w:val="en-US" w:eastAsia="zh-CN" w:bidi="ar"/>
        </w:rPr>
        <w:t>学院每年开展一次行业产业导师新增选聘工作，一般在每年3-4月进行，选聘程序如下：</w:t>
      </w:r>
    </w:p>
    <w:p>
      <w:pPr>
        <w:numPr>
          <w:ilvl w:val="0"/>
          <w:numId w:val="3"/>
        </w:numPr>
        <w:tabs>
          <w:tab w:val="left" w:pos="0"/>
        </w:tabs>
        <w:ind w:firstLine="64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个人申请。由本人向学院提出申请，并提交申请表和相关证明材料。</w:t>
      </w:r>
    </w:p>
    <w:p>
      <w:pPr>
        <w:numPr>
          <w:ilvl w:val="0"/>
          <w:numId w:val="3"/>
        </w:numPr>
        <w:tabs>
          <w:tab w:val="left" w:pos="0"/>
        </w:tabs>
        <w:ind w:firstLine="64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学院审核。召开学位评定分委员会，对申请人员进行资格审核和认定，审核认定通过的名单公示后报送学校研究生院。</w:t>
      </w:r>
    </w:p>
    <w:p>
      <w:pPr>
        <w:numPr>
          <w:ilvl w:val="0"/>
          <w:numId w:val="3"/>
        </w:numPr>
        <w:tabs>
          <w:tab w:val="left" w:pos="0"/>
        </w:tabs>
        <w:ind w:firstLine="64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研究生院备案。</w:t>
      </w:r>
    </w:p>
    <w:p>
      <w:pPr>
        <w:numPr>
          <w:ilvl w:val="0"/>
          <w:numId w:val="3"/>
        </w:numPr>
        <w:tabs>
          <w:tab w:val="left" w:pos="0"/>
        </w:tabs>
        <w:ind w:firstLine="64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通过审核的行业产业导师，由学院与行业产业导师签署研究生培养聘任协议，并为已签署聘任协议的行业产业导师颁发聘任证书，聘期一般为3年。</w:t>
      </w:r>
    </w:p>
    <w:p>
      <w:pPr>
        <w:widowControl w:val="0"/>
        <w:autoSpaceDE w:val="0"/>
        <w:autoSpaceDN w:val="0"/>
        <w:adjustRightInd w:val="0"/>
        <w:ind w:firstLine="0" w:firstLineChars="0"/>
        <w:jc w:val="left"/>
        <w:rPr>
          <w:rFonts w:ascii="仿宋_GB2312" w:hAnsi="Times New Roman" w:eastAsia="仿宋_GB2312" w:cs="仿宋_GB2312"/>
          <w:color w:val="auto"/>
          <w:kern w:val="0"/>
          <w:lang w:bidi="ar-SA"/>
        </w:rPr>
      </w:pPr>
      <w:r>
        <w:rPr>
          <w:rFonts w:hint="eastAsia" w:ascii="仿宋_GB2312" w:hAnsi="Times New Roman" w:eastAsia="仿宋_GB2312" w:cs="仿宋_GB2312"/>
          <w:color w:val="auto"/>
          <w:kern w:val="0"/>
          <w:lang w:bidi="ar-SA"/>
        </w:rPr>
        <w:t xml:space="preserve"> </w:t>
      </w:r>
      <w:r>
        <w:rPr>
          <w:rFonts w:ascii="仿宋_GB2312" w:hAnsi="Times New Roman" w:eastAsia="仿宋_GB2312" w:cs="仿宋_GB2312"/>
          <w:color w:val="auto"/>
          <w:kern w:val="0"/>
          <w:lang w:bidi="ar-SA"/>
        </w:rPr>
        <w:t xml:space="preserve">  </w:t>
      </w:r>
      <w:r>
        <w:rPr>
          <w:rFonts w:hint="eastAsia" w:ascii="黑体" w:hAnsi="黑体" w:eastAsia="黑体" w:cs="黑体"/>
          <w:color w:val="auto"/>
          <w:lang w:bidi="ar"/>
        </w:rPr>
        <w:t xml:space="preserve">第四条 </w:t>
      </w:r>
      <w:r>
        <w:rPr>
          <w:rFonts w:hint="eastAsia" w:ascii="黑体" w:hAnsi="黑体" w:eastAsia="黑体" w:cs="黑体"/>
          <w:color w:val="auto"/>
          <w:szCs w:val="28"/>
        </w:rPr>
        <w:t>行业产业</w:t>
      </w:r>
      <w:r>
        <w:rPr>
          <w:rFonts w:hint="eastAsia" w:ascii="黑体" w:hAnsi="黑体" w:eastAsia="黑体" w:cs="黑体"/>
          <w:color w:val="auto"/>
          <w:lang w:bidi="ar"/>
        </w:rPr>
        <w:t>导师管理</w:t>
      </w:r>
    </w:p>
    <w:p>
      <w:pPr>
        <w:tabs>
          <w:tab w:val="left" w:pos="0"/>
        </w:tabs>
        <w:ind w:left="420" w:firstLine="0" w:firstLineChars="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（一） 行业产业导师职责</w:t>
      </w:r>
    </w:p>
    <w:p>
      <w:pPr>
        <w:tabs>
          <w:tab w:val="left" w:pos="0"/>
        </w:tabs>
        <w:ind w:left="420" w:firstLine="640" w:firstLineChars="20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1. 参与学科与学位点建设、研究生培养方案修订、教材开发、教学改革、案例开发、研究生实践课程的建设和教学等工作。</w:t>
      </w:r>
    </w:p>
    <w:p>
      <w:pPr>
        <w:tabs>
          <w:tab w:val="left" w:pos="0"/>
        </w:tabs>
        <w:ind w:left="420" w:firstLine="640" w:firstLineChars="20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2. 联合指导研究生，与校内导师共同制定个性化的专业实践计划，指导研究生开展专业实践活动，为所指导的研究生从事课题研究及专业实践创造必要的条件，并协助指导学位论文，参与研究生论文开题、中期检查、论文答辩等环节。</w:t>
      </w:r>
    </w:p>
    <w:p>
      <w:pPr>
        <w:tabs>
          <w:tab w:val="left" w:pos="0"/>
        </w:tabs>
        <w:ind w:left="420" w:firstLine="640" w:firstLineChars="20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 xml:space="preserve">3. </w:t>
      </w:r>
      <w:bookmarkStart w:id="1" w:name="_GoBack"/>
      <w:bookmarkEnd w:id="1"/>
      <w:r>
        <w:rPr>
          <w:rFonts w:hint="eastAsia" w:ascii="宋体" w:hAnsi="宋体" w:eastAsia="仿宋_GB2312" w:cs="宋体"/>
          <w:color w:val="auto"/>
          <w:kern w:val="0"/>
          <w:sz w:val="32"/>
          <w:szCs w:val="28"/>
          <w:lang w:val="en-US" w:eastAsia="zh-CN" w:bidi="ar"/>
        </w:rPr>
        <w:t>与校内导师共同开展学术道德、思想教育和职业伦理教育等工作。及时掌握研究生在实践过程中的工作、生活、思想、心理等方面动态，并与校内导师进行沟通。</w:t>
      </w:r>
    </w:p>
    <w:p>
      <w:pPr>
        <w:tabs>
          <w:tab w:val="left" w:pos="0"/>
        </w:tabs>
        <w:ind w:left="420" w:firstLine="0" w:firstLineChars="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（二） 行业产业导师考核</w:t>
      </w:r>
    </w:p>
    <w:p>
      <w:pPr>
        <w:tabs>
          <w:tab w:val="left" w:pos="0"/>
        </w:tabs>
        <w:ind w:left="420" w:firstLine="640" w:firstLineChars="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学院对聘任的行业产业导师进行考核，在行业产业导师聘期最后一年（一般为聘期第三年）进行。考核内容包括履职情况、工作成效等。考核合格，经导师个人申请，学院予以续聘。</w:t>
      </w:r>
    </w:p>
    <w:p>
      <w:pPr>
        <w:numPr>
          <w:ilvl w:val="0"/>
          <w:numId w:val="0"/>
        </w:numPr>
        <w:tabs>
          <w:tab w:val="left" w:pos="0"/>
        </w:tabs>
        <w:ind w:left="420" w:leftChars="0" w:firstLine="640" w:firstLineChars="200"/>
        <w:rPr>
          <w:rFonts w:hint="default"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行业产业导师有下列情形之一的，可解除聘任合同：</w:t>
      </w:r>
    </w:p>
    <w:p>
      <w:pPr>
        <w:numPr>
          <w:ilvl w:val="0"/>
          <w:numId w:val="4"/>
        </w:numPr>
        <w:tabs>
          <w:tab w:val="left" w:pos="0"/>
        </w:tabs>
        <w:ind w:left="420" w:leftChars="0"/>
        <w:rPr>
          <w:rFonts w:hint="default" w:ascii="宋体" w:hAnsi="宋体" w:eastAsia="仿宋_GB2312" w:cs="宋体"/>
          <w:color w:val="auto"/>
          <w:kern w:val="0"/>
          <w:sz w:val="32"/>
          <w:szCs w:val="28"/>
          <w:lang w:val="en-US" w:eastAsia="zh-CN" w:bidi="ar"/>
        </w:rPr>
      </w:pPr>
      <w:r>
        <w:rPr>
          <w:rFonts w:hint="default" w:ascii="宋体" w:hAnsi="宋体" w:eastAsia="仿宋_GB2312" w:cs="宋体"/>
          <w:color w:val="auto"/>
          <w:kern w:val="0"/>
          <w:sz w:val="32"/>
          <w:szCs w:val="28"/>
          <w:lang w:val="en-US" w:eastAsia="zh-CN" w:bidi="ar"/>
        </w:rPr>
        <w:t>存在思想政治、意识形态、师德师风问题的；</w:t>
      </w:r>
    </w:p>
    <w:p>
      <w:pPr>
        <w:numPr>
          <w:ilvl w:val="0"/>
          <w:numId w:val="4"/>
        </w:numPr>
        <w:tabs>
          <w:tab w:val="left" w:pos="0"/>
        </w:tabs>
        <w:ind w:left="420" w:leftChars="0"/>
        <w:rPr>
          <w:rFonts w:hint="default"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因</w:t>
      </w:r>
      <w:r>
        <w:rPr>
          <w:rFonts w:hint="default" w:ascii="宋体" w:hAnsi="宋体" w:eastAsia="仿宋_GB2312" w:cs="宋体"/>
          <w:color w:val="auto"/>
          <w:kern w:val="0"/>
          <w:sz w:val="32"/>
          <w:szCs w:val="28"/>
          <w:lang w:val="en-US" w:eastAsia="zh-CN" w:bidi="ar"/>
        </w:rPr>
        <w:t>身体健康</w:t>
      </w:r>
      <w:r>
        <w:rPr>
          <w:rFonts w:hint="eastAsia" w:ascii="宋体" w:hAnsi="宋体" w:eastAsia="仿宋_GB2312" w:cs="宋体"/>
          <w:color w:val="auto"/>
          <w:kern w:val="0"/>
          <w:sz w:val="32"/>
          <w:szCs w:val="28"/>
          <w:lang w:val="en-US" w:eastAsia="zh-CN" w:bidi="ar"/>
        </w:rPr>
        <w:t>、工作调动等</w:t>
      </w:r>
      <w:r>
        <w:rPr>
          <w:rFonts w:hint="default" w:ascii="宋体" w:hAnsi="宋体" w:eastAsia="仿宋_GB2312" w:cs="宋体"/>
          <w:color w:val="auto"/>
          <w:kern w:val="0"/>
          <w:sz w:val="32"/>
          <w:szCs w:val="28"/>
          <w:lang w:val="en-US" w:eastAsia="zh-CN" w:bidi="ar"/>
        </w:rPr>
        <w:t>原因不能</w:t>
      </w:r>
      <w:r>
        <w:rPr>
          <w:rFonts w:hint="eastAsia" w:ascii="宋体" w:hAnsi="宋体" w:eastAsia="仿宋_GB2312" w:cs="宋体"/>
          <w:color w:val="auto"/>
          <w:kern w:val="0"/>
          <w:sz w:val="32"/>
          <w:szCs w:val="28"/>
          <w:lang w:val="en-US" w:eastAsia="zh-CN" w:bidi="ar"/>
        </w:rPr>
        <w:t>继续</w:t>
      </w:r>
      <w:r>
        <w:rPr>
          <w:rFonts w:hint="default" w:ascii="宋体" w:hAnsi="宋体" w:eastAsia="仿宋_GB2312" w:cs="宋体"/>
          <w:color w:val="auto"/>
          <w:kern w:val="0"/>
          <w:sz w:val="32"/>
          <w:szCs w:val="28"/>
          <w:lang w:val="en-US" w:eastAsia="zh-CN" w:bidi="ar"/>
        </w:rPr>
        <w:t>履职的；</w:t>
      </w:r>
    </w:p>
    <w:p>
      <w:pPr>
        <w:numPr>
          <w:ilvl w:val="0"/>
          <w:numId w:val="4"/>
        </w:numPr>
        <w:tabs>
          <w:tab w:val="left" w:pos="0"/>
        </w:tabs>
        <w:ind w:left="420" w:leftChars="0"/>
        <w:rPr>
          <w:rFonts w:hint="default" w:ascii="宋体" w:hAnsi="宋体" w:eastAsia="仿宋_GB2312" w:cs="宋体"/>
          <w:color w:val="auto"/>
          <w:kern w:val="0"/>
          <w:sz w:val="32"/>
          <w:szCs w:val="28"/>
          <w:lang w:val="en-US" w:eastAsia="zh-CN" w:bidi="ar"/>
        </w:rPr>
      </w:pPr>
      <w:r>
        <w:rPr>
          <w:rFonts w:hint="default" w:ascii="宋体" w:hAnsi="宋体" w:eastAsia="仿宋_GB2312" w:cs="宋体"/>
          <w:color w:val="auto"/>
          <w:kern w:val="0"/>
          <w:sz w:val="32"/>
          <w:szCs w:val="28"/>
          <w:lang w:val="en-US" w:eastAsia="zh-CN" w:bidi="ar"/>
        </w:rPr>
        <w:t>本人或指导的研究生在就读期间发生学术失范行为</w:t>
      </w:r>
      <w:r>
        <w:rPr>
          <w:rFonts w:hint="eastAsia" w:ascii="宋体" w:hAnsi="宋体" w:eastAsia="仿宋_GB2312" w:cs="宋体"/>
          <w:color w:val="auto"/>
          <w:kern w:val="0"/>
          <w:sz w:val="32"/>
          <w:szCs w:val="28"/>
          <w:lang w:val="en-US" w:eastAsia="zh-CN" w:bidi="ar"/>
        </w:rPr>
        <w:t>的</w:t>
      </w:r>
      <w:r>
        <w:rPr>
          <w:rFonts w:hint="default" w:ascii="宋体" w:hAnsi="宋体" w:eastAsia="仿宋_GB2312" w:cs="宋体"/>
          <w:color w:val="auto"/>
          <w:kern w:val="0"/>
          <w:sz w:val="32"/>
          <w:szCs w:val="28"/>
          <w:lang w:val="en-US" w:eastAsia="zh-CN" w:bidi="ar"/>
        </w:rPr>
        <w:t>；</w:t>
      </w:r>
    </w:p>
    <w:p>
      <w:pPr>
        <w:numPr>
          <w:ilvl w:val="0"/>
          <w:numId w:val="4"/>
        </w:numPr>
        <w:tabs>
          <w:tab w:val="left" w:pos="0"/>
        </w:tabs>
        <w:ind w:left="420" w:leftChars="0"/>
        <w:rPr>
          <w:rFonts w:hint="default" w:ascii="宋体" w:hAnsi="宋体" w:eastAsia="仿宋_GB2312" w:cs="宋体"/>
          <w:color w:val="auto"/>
          <w:kern w:val="0"/>
          <w:sz w:val="32"/>
          <w:szCs w:val="28"/>
          <w:lang w:val="en-US" w:eastAsia="zh-CN" w:bidi="ar"/>
        </w:rPr>
      </w:pPr>
      <w:r>
        <w:rPr>
          <w:rFonts w:hint="default" w:ascii="宋体" w:hAnsi="宋体" w:eastAsia="仿宋_GB2312" w:cs="宋体"/>
          <w:color w:val="auto"/>
          <w:kern w:val="0"/>
          <w:sz w:val="32"/>
          <w:szCs w:val="28"/>
          <w:lang w:val="en-US" w:eastAsia="zh-CN" w:bidi="ar"/>
        </w:rPr>
        <w:t>所指导研究生被撤销学位论文或抽检“存在问题论文”的</w:t>
      </w:r>
      <w:r>
        <w:rPr>
          <w:rFonts w:hint="eastAsia" w:ascii="宋体" w:hAnsi="宋体" w:eastAsia="仿宋_GB2312" w:cs="宋体"/>
          <w:color w:val="auto"/>
          <w:kern w:val="0"/>
          <w:sz w:val="32"/>
          <w:szCs w:val="28"/>
          <w:lang w:val="en-US" w:eastAsia="zh-CN" w:bidi="ar"/>
        </w:rPr>
        <w:t>；</w:t>
      </w:r>
    </w:p>
    <w:p>
      <w:pPr>
        <w:numPr>
          <w:ilvl w:val="0"/>
          <w:numId w:val="4"/>
        </w:numPr>
        <w:tabs>
          <w:tab w:val="left" w:pos="0"/>
        </w:tabs>
        <w:ind w:left="420" w:leftChars="0"/>
        <w:rPr>
          <w:rFonts w:hint="default" w:ascii="宋体" w:hAnsi="宋体" w:eastAsia="仿宋_GB2312" w:cs="宋体"/>
          <w:color w:val="auto"/>
          <w:kern w:val="0"/>
          <w:sz w:val="32"/>
          <w:szCs w:val="28"/>
          <w:lang w:val="en-US" w:eastAsia="zh-CN" w:bidi="ar"/>
        </w:rPr>
      </w:pPr>
      <w:r>
        <w:rPr>
          <w:rFonts w:hint="eastAsia" w:ascii="仿宋" w:hAnsi="仿宋" w:eastAsia="仿宋" w:cs="Times New Roman"/>
          <w:color w:val="auto"/>
          <w:kern w:val="0"/>
          <w:szCs w:val="32"/>
        </w:rPr>
        <w:t>经学院学位评定分委员会等认定其它</w:t>
      </w:r>
      <w:r>
        <w:rPr>
          <w:rFonts w:hint="eastAsia" w:ascii="仿宋" w:hAnsi="仿宋" w:cs="Times New Roman"/>
          <w:color w:val="auto"/>
          <w:kern w:val="0"/>
          <w:szCs w:val="32"/>
          <w:lang w:val="en-US" w:eastAsia="zh-CN"/>
        </w:rPr>
        <w:t>须解除聘任合同的情况。</w:t>
      </w:r>
    </w:p>
    <w:p>
      <w:pPr>
        <w:tabs>
          <w:tab w:val="left" w:pos="0"/>
        </w:tabs>
        <w:ind w:left="420" w:firstLine="0" w:firstLineChars="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（三）评选与表彰</w:t>
      </w:r>
    </w:p>
    <w:p>
      <w:pPr>
        <w:tabs>
          <w:tab w:val="left" w:pos="0"/>
        </w:tabs>
        <w:ind w:left="420" w:firstLine="640" w:firstLineChars="0"/>
        <w:rPr>
          <w:rFonts w:hint="default"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学校组织评选“优秀行业产业导师”，并对优秀行业产业导师进行表彰。</w:t>
      </w:r>
    </w:p>
    <w:p>
      <w:pPr>
        <w:numPr>
          <w:ilvl w:val="0"/>
          <w:numId w:val="1"/>
        </w:numPr>
        <w:tabs>
          <w:tab w:val="left" w:pos="0"/>
        </w:tabs>
        <w:ind w:left="0" w:leftChars="0" w:firstLine="420" w:firstLineChars="0"/>
        <w:rPr>
          <w:rFonts w:hint="eastAsia"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行业产业导师经费管理</w:t>
      </w:r>
    </w:p>
    <w:p>
      <w:pPr>
        <w:numPr>
          <w:ilvl w:val="0"/>
          <w:numId w:val="0"/>
        </w:numPr>
        <w:tabs>
          <w:tab w:val="left" w:pos="0"/>
        </w:tabs>
        <w:ind w:left="420" w:leftChars="0" w:firstLine="640" w:firstLineChars="200"/>
        <w:rPr>
          <w:rFonts w:hint="default" w:ascii="宋体" w:hAnsi="宋体" w:eastAsia="仿宋_GB2312" w:cs="宋体"/>
          <w:color w:val="auto"/>
          <w:kern w:val="0"/>
          <w:sz w:val="32"/>
          <w:szCs w:val="28"/>
          <w:lang w:val="en-US" w:eastAsia="zh-CN" w:bidi="ar"/>
        </w:rPr>
      </w:pPr>
      <w:r>
        <w:rPr>
          <w:rFonts w:hint="eastAsia" w:ascii="宋体" w:hAnsi="宋体" w:eastAsia="仿宋_GB2312" w:cs="宋体"/>
          <w:color w:val="auto"/>
          <w:kern w:val="0"/>
          <w:sz w:val="32"/>
          <w:szCs w:val="28"/>
          <w:lang w:val="en-US" w:eastAsia="zh-CN" w:bidi="ar"/>
        </w:rPr>
        <w:t>行业产业导师在研究生培养期间承担的授课课时酬金等可从学院研究生培养经费和相关研究生联合培养基地建设经费中列支。</w:t>
      </w:r>
    </w:p>
    <w:p>
      <w:pPr>
        <w:tabs>
          <w:tab w:val="left" w:pos="0"/>
        </w:tabs>
        <w:ind w:left="420" w:firstLine="0" w:firstLineChars="0"/>
        <w:rPr>
          <w:rFonts w:ascii="仿宋" w:hAnsi="仿宋" w:cs="仿宋"/>
          <w:color w:val="auto"/>
          <w:szCs w:val="28"/>
        </w:rPr>
      </w:pPr>
      <w:r>
        <w:rPr>
          <w:rFonts w:hint="eastAsia" w:ascii="黑体" w:hAnsi="黑体" w:eastAsia="黑体" w:cs="黑体"/>
          <w:color w:val="auto"/>
          <w:lang w:bidi="ar"/>
        </w:rPr>
        <w:t xml:space="preserve">第五条 </w:t>
      </w:r>
      <w:r>
        <w:rPr>
          <w:rFonts w:hint="eastAsia" w:ascii="宋体" w:hAnsi="宋体" w:eastAsia="仿宋_GB2312" w:cs="宋体"/>
          <w:color w:val="auto"/>
          <w:kern w:val="0"/>
          <w:sz w:val="32"/>
          <w:szCs w:val="28"/>
          <w:lang w:val="en-US" w:eastAsia="zh-CN" w:bidi="ar"/>
        </w:rPr>
        <w:t>本办法如与上级部门最新政策要求不一致的，按上级部门相关要求执行。</w:t>
      </w:r>
    </w:p>
    <w:p>
      <w:pPr>
        <w:tabs>
          <w:tab w:val="left" w:pos="0"/>
        </w:tabs>
        <w:ind w:left="420" w:firstLine="0" w:firstLineChars="0"/>
        <w:rPr>
          <w:rFonts w:hint="eastAsia" w:ascii="仿宋" w:hAnsi="仿宋" w:cs="仿宋"/>
          <w:color w:val="auto"/>
          <w:szCs w:val="28"/>
        </w:rPr>
      </w:pPr>
      <w:r>
        <w:rPr>
          <w:rFonts w:hint="eastAsia" w:ascii="黑体" w:hAnsi="黑体" w:eastAsia="黑体" w:cs="黑体"/>
          <w:color w:val="auto"/>
          <w:lang w:bidi="ar"/>
        </w:rPr>
        <w:t>第六条</w:t>
      </w:r>
      <w:r>
        <w:rPr>
          <w:rFonts w:hint="eastAsia" w:ascii="宋体" w:hAnsi="宋体" w:eastAsia="仿宋_GB2312" w:cs="宋体"/>
          <w:color w:val="auto"/>
          <w:kern w:val="0"/>
          <w:sz w:val="32"/>
          <w:szCs w:val="28"/>
          <w:lang w:val="en-US" w:eastAsia="zh-CN" w:bidi="ar"/>
        </w:rPr>
        <w:t xml:space="preserve"> 本办法自发布之日起实施，由化学工程学院负责解释。</w:t>
      </w:r>
    </w:p>
    <w:p>
      <w:pPr>
        <w:tabs>
          <w:tab w:val="left" w:pos="0"/>
        </w:tabs>
        <w:ind w:left="420" w:firstLine="0" w:firstLineChars="0"/>
        <w:rPr>
          <w:rFonts w:hint="eastAsia" w:ascii="仿宋" w:hAnsi="仿宋" w:cs="仿宋"/>
          <w:color w:val="auto"/>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FZXiaoBiaoSong-B05S">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BD25C"/>
    <w:multiLevelType w:val="singleLevel"/>
    <w:tmpl w:val="946BD25C"/>
    <w:lvl w:ilvl="0" w:tentative="0">
      <w:start w:val="1"/>
      <w:numFmt w:val="chineseCounting"/>
      <w:suff w:val="nothing"/>
      <w:lvlText w:val="（%1）"/>
      <w:lvlJc w:val="left"/>
      <w:rPr>
        <w:rFonts w:hint="eastAsia"/>
      </w:rPr>
    </w:lvl>
  </w:abstractNum>
  <w:abstractNum w:abstractNumId="1">
    <w:nsid w:val="CDDEE000"/>
    <w:multiLevelType w:val="singleLevel"/>
    <w:tmpl w:val="CDDEE000"/>
    <w:lvl w:ilvl="0" w:tentative="0">
      <w:start w:val="1"/>
      <w:numFmt w:val="decimal"/>
      <w:suff w:val="space"/>
      <w:lvlText w:val="%1."/>
      <w:lvlJc w:val="left"/>
    </w:lvl>
  </w:abstractNum>
  <w:abstractNum w:abstractNumId="2">
    <w:nsid w:val="EA467A62"/>
    <w:multiLevelType w:val="singleLevel"/>
    <w:tmpl w:val="EA467A62"/>
    <w:lvl w:ilvl="0" w:tentative="0">
      <w:start w:val="1"/>
      <w:numFmt w:val="chineseCounting"/>
      <w:suff w:val="nothing"/>
      <w:lvlText w:val="（%1）"/>
      <w:lvlJc w:val="left"/>
      <w:pPr>
        <w:ind w:left="0" w:firstLine="420"/>
      </w:pPr>
      <w:rPr>
        <w:rFonts w:hint="eastAsia"/>
      </w:rPr>
    </w:lvl>
  </w:abstractNum>
  <w:abstractNum w:abstractNumId="3">
    <w:nsid w:val="EE70FA7B"/>
    <w:multiLevelType w:val="singleLevel"/>
    <w:tmpl w:val="EE70FA7B"/>
    <w:lvl w:ilvl="0" w:tentative="0">
      <w:start w:val="3"/>
      <w:numFmt w:val="chineseCounting"/>
      <w:suff w:val="space"/>
      <w:lvlText w:val="第%1条"/>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71"/>
    <w:rsid w:val="0001701E"/>
    <w:rsid w:val="002F5B67"/>
    <w:rsid w:val="003B5571"/>
    <w:rsid w:val="0059335A"/>
    <w:rsid w:val="0087338B"/>
    <w:rsid w:val="00D27AF2"/>
    <w:rsid w:val="00E006FA"/>
    <w:rsid w:val="00E80E6E"/>
    <w:rsid w:val="0B243B98"/>
    <w:rsid w:val="1395734B"/>
    <w:rsid w:val="22D83B09"/>
    <w:rsid w:val="241D4992"/>
    <w:rsid w:val="28FB274E"/>
    <w:rsid w:val="3ACE7B34"/>
    <w:rsid w:val="3E6E183F"/>
    <w:rsid w:val="52D0306C"/>
    <w:rsid w:val="598D3B2E"/>
    <w:rsid w:val="5AA82E5E"/>
    <w:rsid w:val="63016BD1"/>
    <w:rsid w:val="70022B9A"/>
    <w:rsid w:val="707B1304"/>
    <w:rsid w:val="747B344A"/>
    <w:rsid w:val="7C221F46"/>
    <w:rsid w:val="7DF201C1"/>
    <w:rsid w:val="7FB87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Calibri" w:hAnsi="Calibri" w:eastAsia="仿宋" w:cs="Times New Roman"/>
      <w:kern w:val="2"/>
      <w:sz w:val="32"/>
      <w:szCs w:val="32"/>
      <w:lang w:val="en-US" w:eastAsia="zh-CN" w:bidi="bo-CN"/>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FZXiaoBiaoSong-B05S" w:hAnsi="FZXiaoBiaoSong-B05S" w:cs="FZXiaoBiaoSong-B05S" w:eastAsiaTheme="minorEastAsia"/>
      <w:color w:val="000000"/>
      <w:kern w:val="0"/>
      <w:sz w:val="24"/>
      <w:szCs w:val="24"/>
      <w:lang w:val="en-US" w:eastAsia="zh-CN" w:bidi="ar-SA"/>
    </w:rPr>
  </w:style>
  <w:style w:type="paragraph" w:styleId="5">
    <w:name w:val="List Paragraph"/>
    <w:basedOn w:val="1"/>
    <w:qFormat/>
    <w:uiPriority w:val="34"/>
    <w:pPr>
      <w:ind w:firstLine="420"/>
    </w:pPr>
    <w:rPr>
      <w:szCs w:val="4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54</TotalTime>
  <ScaleCrop>false</ScaleCrop>
  <LinksUpToDate>false</LinksUpToDate>
  <CharactersWithSpaces>1145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2021-06-03T02:58:00Z</dcterms:created>
  <dc:creator>lenovo</dc:creator>
  <cp:lastModifiedBy>Sunflower</cp:lastModifiedBy>
  <dcterms:modified xsi:type="dcterms:W3CDTF">2021-11-03T00:41:15Z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82D08BF5FD3D47CFBFD028816E325671</vt:lpwstr>
  </property>
</Properties>
</file>